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D2" w:rsidRDefault="00586CD2" w:rsidP="00586CD2">
      <w:pPr>
        <w:jc w:val="left"/>
      </w:pPr>
      <w:r>
        <w:t xml:space="preserve">                                                                 </w:t>
      </w:r>
      <w:r>
        <w:rPr>
          <w:noProof/>
        </w:rPr>
        <w:drawing>
          <wp:inline distT="0" distB="0" distL="0" distR="0">
            <wp:extent cx="1666875" cy="1171575"/>
            <wp:effectExtent l="19050" t="0" r="9525" b="0"/>
            <wp:docPr id="1" name="Picture 1" descr="vertic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CMYK"/>
                    <pic:cNvPicPr>
                      <a:picLocks noChangeAspect="1" noChangeArrowheads="1"/>
                    </pic:cNvPicPr>
                  </pic:nvPicPr>
                  <pic:blipFill>
                    <a:blip r:embed="rId7" cstate="print"/>
                    <a:srcRect/>
                    <a:stretch>
                      <a:fillRect/>
                    </a:stretch>
                  </pic:blipFill>
                  <pic:spPr bwMode="auto">
                    <a:xfrm>
                      <a:off x="0" y="0"/>
                      <a:ext cx="1666875" cy="1171575"/>
                    </a:xfrm>
                    <a:prstGeom prst="rect">
                      <a:avLst/>
                    </a:prstGeom>
                    <a:noFill/>
                    <a:ln w="9525">
                      <a:noFill/>
                      <a:miter lim="800000"/>
                      <a:headEnd/>
                      <a:tailEnd/>
                    </a:ln>
                  </pic:spPr>
                </pic:pic>
              </a:graphicData>
            </a:graphic>
          </wp:inline>
        </w:drawing>
      </w:r>
    </w:p>
    <w:p w:rsidR="00586CD2" w:rsidRPr="00122222" w:rsidRDefault="00586CD2" w:rsidP="00586CD2">
      <w:pPr>
        <w:jc w:val="left"/>
      </w:pPr>
      <w:r>
        <w:t xml:space="preserve">                                    </w:t>
      </w:r>
      <w:r>
        <w:rPr>
          <w:rFonts w:ascii="Monotype Corsiva" w:hAnsi="Monotype Corsiva"/>
          <w:b/>
          <w:sz w:val="48"/>
        </w:rPr>
        <w:t xml:space="preserve">Montgomery County </w:t>
      </w:r>
      <w:r>
        <w:rPr>
          <w:rFonts w:ascii="Monotype Corsiva" w:hAnsi="Monotype Corsiva"/>
          <w:b/>
          <w:bCs/>
          <w:sz w:val="48"/>
        </w:rPr>
        <w:t>Government</w:t>
      </w:r>
    </w:p>
    <w:p w:rsidR="00586CD2" w:rsidRDefault="00586CD2" w:rsidP="00586CD2">
      <w:pPr>
        <w:jc w:val="left"/>
        <w:rPr>
          <w:rFonts w:ascii="Arial" w:hAnsi="Arial" w:cs="Arial"/>
          <w:b/>
          <w:bCs/>
          <w:i/>
          <w:iCs/>
        </w:rPr>
      </w:pPr>
      <w:r>
        <w:rPr>
          <w:rFonts w:ascii="Arial" w:hAnsi="Arial" w:cs="Arial"/>
          <w:b/>
          <w:bCs/>
          <w:i/>
          <w:iCs/>
        </w:rPr>
        <w:t xml:space="preserve">                                                 Building and Codes Department</w:t>
      </w:r>
    </w:p>
    <w:p w:rsidR="00586CD2" w:rsidRPr="00E313DD" w:rsidRDefault="00586CD2" w:rsidP="00586CD2">
      <w:pPr>
        <w:jc w:val="left"/>
        <w:rPr>
          <w:b/>
        </w:rPr>
      </w:pPr>
      <w:r w:rsidRPr="00586CD2">
        <w:rPr>
          <w:b/>
        </w:rPr>
        <w:t xml:space="preserve">                                                                    </w:t>
      </w:r>
      <w:r w:rsidRPr="00E313DD">
        <w:rPr>
          <w:b/>
        </w:rPr>
        <w:t>350 Pageant Lane, Suite 309</w:t>
      </w:r>
    </w:p>
    <w:p w:rsidR="00586CD2" w:rsidRPr="00E313DD" w:rsidRDefault="00586CD2" w:rsidP="00586CD2">
      <w:pPr>
        <w:jc w:val="left"/>
        <w:rPr>
          <w:b/>
        </w:rPr>
      </w:pPr>
      <w:r w:rsidRPr="00E313DD">
        <w:rPr>
          <w:b/>
        </w:rPr>
        <w:t xml:space="preserve">                                                                         Clarksville, TN  37040</w:t>
      </w:r>
    </w:p>
    <w:p w:rsidR="002C0966" w:rsidRPr="002C0966" w:rsidRDefault="002C0966" w:rsidP="00586CD2">
      <w:pPr>
        <w:pStyle w:val="Default"/>
        <w:jc w:val="center"/>
        <w:rPr>
          <w:rFonts w:asciiTheme="minorHAnsi" w:hAnsiTheme="minorHAnsi"/>
          <w:color w:val="auto"/>
          <w:sz w:val="22"/>
          <w:szCs w:val="22"/>
        </w:rPr>
      </w:pPr>
    </w:p>
    <w:p w:rsidR="002C0966" w:rsidRDefault="002C0966" w:rsidP="002C0966">
      <w:pPr>
        <w:pStyle w:val="Default"/>
        <w:jc w:val="center"/>
        <w:rPr>
          <w:rFonts w:asciiTheme="minorHAnsi" w:hAnsiTheme="minorHAnsi"/>
          <w:b/>
          <w:bCs/>
          <w:color w:val="auto"/>
          <w:sz w:val="36"/>
          <w:szCs w:val="36"/>
        </w:rPr>
      </w:pPr>
      <w:r w:rsidRPr="002C0966">
        <w:rPr>
          <w:rFonts w:asciiTheme="minorHAnsi" w:hAnsiTheme="minorHAnsi"/>
          <w:b/>
          <w:bCs/>
          <w:color w:val="auto"/>
          <w:sz w:val="36"/>
          <w:szCs w:val="36"/>
        </w:rPr>
        <w:t>BUSINESS OCCUPANCY PLAN CORRECTION LIST</w:t>
      </w:r>
    </w:p>
    <w:p w:rsidR="00980CE2" w:rsidRDefault="00980CE2" w:rsidP="002C0966">
      <w:pPr>
        <w:pStyle w:val="Default"/>
        <w:jc w:val="center"/>
        <w:rPr>
          <w:rFonts w:asciiTheme="minorHAnsi" w:hAnsiTheme="minorHAnsi"/>
          <w:b/>
          <w:bCs/>
          <w:color w:val="auto"/>
          <w:sz w:val="36"/>
          <w:szCs w:val="36"/>
        </w:rPr>
      </w:pPr>
    </w:p>
    <w:p w:rsidR="00980CE2" w:rsidRPr="002C0966" w:rsidRDefault="009B13FD" w:rsidP="00980CE2">
      <w:pPr>
        <w:pStyle w:val="Default"/>
        <w:jc w:val="center"/>
        <w:rPr>
          <w:rFonts w:asciiTheme="minorHAnsi" w:hAnsiTheme="minorHAnsi"/>
          <w:color w:val="auto"/>
          <w:u w:val="single"/>
        </w:rPr>
      </w:pPr>
      <w:r>
        <w:rPr>
          <w:rFonts w:asciiTheme="minorHAnsi" w:hAnsiTheme="minorHAnsi"/>
          <w:b/>
          <w:bCs/>
          <w:color w:val="auto"/>
          <w:u w:val="single"/>
        </w:rPr>
        <w:t>GENERAL</w:t>
      </w:r>
      <w:r w:rsidR="00980CE2" w:rsidRPr="002C0966">
        <w:rPr>
          <w:rFonts w:asciiTheme="minorHAnsi" w:hAnsiTheme="minorHAnsi"/>
          <w:b/>
          <w:bCs/>
          <w:color w:val="auto"/>
          <w:u w:val="single"/>
        </w:rPr>
        <w:t xml:space="preserve"> CORRECTION LIST MUST BE USED IN CONJUCTION WITH THIS LIST</w:t>
      </w:r>
    </w:p>
    <w:p w:rsidR="00980CE2" w:rsidRDefault="00980CE2" w:rsidP="002C6153">
      <w:pPr>
        <w:pStyle w:val="Default"/>
        <w:rPr>
          <w:rFonts w:asciiTheme="minorHAnsi" w:hAnsiTheme="minorHAnsi"/>
          <w:b/>
          <w:bCs/>
          <w:color w:val="auto"/>
        </w:rPr>
      </w:pPr>
    </w:p>
    <w:p w:rsidR="002C6153" w:rsidRDefault="002C6153" w:rsidP="002C6153">
      <w:pPr>
        <w:pStyle w:val="Default"/>
        <w:rPr>
          <w:rFonts w:asciiTheme="minorHAnsi" w:hAnsiTheme="minorHAnsi"/>
          <w:b/>
          <w:bCs/>
          <w:color w:val="auto"/>
        </w:rPr>
      </w:pPr>
      <w:r w:rsidRPr="002C6153">
        <w:rPr>
          <w:rFonts w:asciiTheme="minorHAnsi" w:hAnsiTheme="minorHAnsi"/>
          <w:b/>
          <w:bCs/>
          <w:color w:val="auto"/>
        </w:rPr>
        <w:t>Project:</w:t>
      </w:r>
    </w:p>
    <w:p w:rsidR="002C6153" w:rsidRPr="002C6153" w:rsidRDefault="002C6153" w:rsidP="002C6153">
      <w:pPr>
        <w:pStyle w:val="Default"/>
        <w:rPr>
          <w:rFonts w:asciiTheme="minorHAnsi" w:hAnsiTheme="minorHAnsi"/>
          <w:b/>
          <w:bCs/>
          <w:color w:val="auto"/>
        </w:rPr>
      </w:pPr>
    </w:p>
    <w:p w:rsidR="009B13FD" w:rsidRDefault="009B13FD" w:rsidP="009B13FD">
      <w:pPr>
        <w:pStyle w:val="Default"/>
        <w:rPr>
          <w:sz w:val="20"/>
          <w:szCs w:val="20"/>
        </w:rPr>
      </w:pPr>
      <w:r>
        <w:rPr>
          <w:sz w:val="20"/>
          <w:szCs w:val="20"/>
        </w:rPr>
        <w:t xml:space="preserve">This list is be used in conjunction with the attached General Correction List. Note that this correction list is not all inclusive. See additional items on the General Correction List. </w:t>
      </w:r>
    </w:p>
    <w:p w:rsidR="009B13FD" w:rsidRDefault="009B13FD" w:rsidP="009B13FD">
      <w:pPr>
        <w:pStyle w:val="Default"/>
        <w:rPr>
          <w:sz w:val="20"/>
          <w:szCs w:val="20"/>
        </w:rPr>
      </w:pPr>
      <w:r>
        <w:rPr>
          <w:sz w:val="20"/>
          <w:szCs w:val="20"/>
        </w:rPr>
        <w:t xml:space="preserve">Plan Correction List </w:t>
      </w:r>
    </w:p>
    <w:p w:rsidR="009B13FD" w:rsidRDefault="009B13FD" w:rsidP="009B13FD">
      <w:pPr>
        <w:pStyle w:val="Default"/>
        <w:rPr>
          <w:sz w:val="10"/>
          <w:szCs w:val="10"/>
        </w:rPr>
      </w:pPr>
      <w:r>
        <w:rPr>
          <w:sz w:val="10"/>
          <w:szCs w:val="10"/>
        </w:rPr>
        <w:t xml:space="preserve"> </w:t>
      </w:r>
    </w:p>
    <w:p w:rsidR="009B13FD" w:rsidRDefault="009B13FD" w:rsidP="009B13FD">
      <w:pPr>
        <w:pStyle w:val="Default"/>
        <w:rPr>
          <w:sz w:val="20"/>
          <w:szCs w:val="20"/>
        </w:rPr>
      </w:pPr>
      <w:r>
        <w:rPr>
          <w:sz w:val="20"/>
          <w:szCs w:val="20"/>
        </w:rPr>
        <w:t xml:space="preserve">Items listed require amended construction documents such as revised plans, supplemental instructions, addenda, field orders, or change orders before plans approval will be issued.  Answers in letter form may be provided to explain the changes to the construction documents. All drawing revisions should be clouded with a corresponding revision number tag. </w:t>
      </w:r>
    </w:p>
    <w:p w:rsidR="009B13FD" w:rsidRDefault="009B13FD" w:rsidP="009B13FD">
      <w:pPr>
        <w:pStyle w:val="Default"/>
        <w:rPr>
          <w:sz w:val="20"/>
          <w:szCs w:val="20"/>
        </w:rPr>
      </w:pPr>
      <w:r>
        <w:rPr>
          <w:sz w:val="20"/>
          <w:szCs w:val="20"/>
        </w:rPr>
        <w:t xml:space="preserve"> </w:t>
      </w:r>
    </w:p>
    <w:p w:rsidR="009B13FD" w:rsidRDefault="009B13FD" w:rsidP="009B13FD">
      <w:pPr>
        <w:pStyle w:val="Default"/>
        <w:rPr>
          <w:sz w:val="20"/>
          <w:szCs w:val="20"/>
        </w:rPr>
      </w:pPr>
      <w:r>
        <w:rPr>
          <w:sz w:val="20"/>
          <w:szCs w:val="20"/>
        </w:rPr>
        <w:t xml:space="preserve"> </w:t>
      </w:r>
    </w:p>
    <w:p w:rsidR="009B13FD" w:rsidRDefault="009B13FD" w:rsidP="009B13FD">
      <w:pPr>
        <w:pStyle w:val="Default"/>
        <w:rPr>
          <w:sz w:val="22"/>
          <w:szCs w:val="22"/>
        </w:rPr>
      </w:pPr>
      <w:r>
        <w:rPr>
          <w:b/>
          <w:bCs/>
          <w:sz w:val="22"/>
          <w:szCs w:val="22"/>
        </w:rPr>
        <w:t xml:space="preserve">Construction  </w:t>
      </w:r>
    </w:p>
    <w:p w:rsidR="009B13FD" w:rsidRDefault="009B13FD" w:rsidP="008550A5">
      <w:pPr>
        <w:pStyle w:val="Default"/>
        <w:ind w:left="360" w:hanging="360"/>
        <w:rPr>
          <w:sz w:val="10"/>
          <w:szCs w:val="10"/>
        </w:rPr>
      </w:pPr>
      <w:r>
        <w:rPr>
          <w:b/>
          <w:bCs/>
          <w:sz w:val="10"/>
          <w:szCs w:val="10"/>
        </w:rPr>
        <w:t xml:space="preserve"> </w:t>
      </w:r>
    </w:p>
    <w:p w:rsidR="009B13FD" w:rsidRDefault="009B13FD" w:rsidP="008550A5">
      <w:pPr>
        <w:pStyle w:val="Default"/>
        <w:numPr>
          <w:ilvl w:val="0"/>
          <w:numId w:val="14"/>
        </w:numPr>
        <w:ind w:left="360"/>
        <w:rPr>
          <w:sz w:val="20"/>
          <w:szCs w:val="20"/>
        </w:rPr>
      </w:pPr>
      <w:r>
        <w:rPr>
          <w:sz w:val="20"/>
          <w:szCs w:val="20"/>
        </w:rPr>
        <w:t xml:space="preserve">Corridors serving 30 people or more must be 1-hour fire-resistance rated construction with 20-minute fire rated door and hardware assemblies unless the building is </w:t>
      </w:r>
      <w:proofErr w:type="spellStart"/>
      <w:r>
        <w:rPr>
          <w:sz w:val="20"/>
          <w:szCs w:val="20"/>
        </w:rPr>
        <w:t>sprinklered</w:t>
      </w:r>
      <w:proofErr w:type="spellEnd"/>
      <w:r>
        <w:rPr>
          <w:sz w:val="20"/>
          <w:szCs w:val="20"/>
        </w:rPr>
        <w:t xml:space="preserve">.   </w:t>
      </w:r>
    </w:p>
    <w:p w:rsidR="009B13FD" w:rsidRDefault="008550A5" w:rsidP="008550A5">
      <w:pPr>
        <w:pStyle w:val="Default"/>
        <w:ind w:left="360" w:hanging="360"/>
        <w:rPr>
          <w:sz w:val="20"/>
          <w:szCs w:val="20"/>
        </w:rPr>
      </w:pPr>
      <w:r>
        <w:rPr>
          <w:sz w:val="20"/>
          <w:szCs w:val="20"/>
        </w:rPr>
        <w:t xml:space="preserve">      </w:t>
      </w:r>
      <w:r w:rsidR="009B13FD">
        <w:rPr>
          <w:sz w:val="20"/>
          <w:szCs w:val="20"/>
        </w:rPr>
        <w:t xml:space="preserve">IBC 1018.1, Table 1018.1, and NFPA 101 38.3.6, Section 8.3 </w:t>
      </w:r>
    </w:p>
    <w:p w:rsidR="009B13FD" w:rsidRDefault="009B13FD" w:rsidP="008550A5">
      <w:pPr>
        <w:pStyle w:val="Default"/>
        <w:ind w:left="360" w:hanging="360"/>
        <w:rPr>
          <w:sz w:val="20"/>
          <w:szCs w:val="20"/>
        </w:rPr>
      </w:pPr>
    </w:p>
    <w:p w:rsidR="009B13FD" w:rsidRDefault="009B13FD" w:rsidP="008550A5">
      <w:pPr>
        <w:pStyle w:val="Default"/>
        <w:numPr>
          <w:ilvl w:val="0"/>
          <w:numId w:val="14"/>
        </w:numPr>
        <w:ind w:left="360"/>
        <w:rPr>
          <w:sz w:val="20"/>
          <w:szCs w:val="20"/>
        </w:rPr>
      </w:pPr>
      <w:r>
        <w:rPr>
          <w:sz w:val="20"/>
          <w:szCs w:val="20"/>
        </w:rPr>
        <w:t xml:space="preserve">All portions of the means of egress system shall be sized in accordance with this section. IBC 1005.1 </w:t>
      </w:r>
    </w:p>
    <w:p w:rsidR="009B13FD" w:rsidRDefault="009B13FD" w:rsidP="008550A5">
      <w:pPr>
        <w:pStyle w:val="Default"/>
        <w:ind w:left="360" w:hanging="360"/>
        <w:rPr>
          <w:sz w:val="20"/>
          <w:szCs w:val="20"/>
        </w:rPr>
      </w:pPr>
    </w:p>
    <w:p w:rsidR="009B13FD" w:rsidRDefault="008550A5" w:rsidP="008550A5">
      <w:pPr>
        <w:pStyle w:val="Default"/>
        <w:ind w:left="360" w:hanging="360"/>
        <w:rPr>
          <w:sz w:val="20"/>
          <w:szCs w:val="20"/>
        </w:rPr>
      </w:pPr>
      <w:r>
        <w:rPr>
          <w:sz w:val="20"/>
          <w:szCs w:val="20"/>
        </w:rPr>
        <w:t xml:space="preserve">      </w:t>
      </w:r>
      <w:r w:rsidR="009B13FD">
        <w:rPr>
          <w:sz w:val="20"/>
          <w:szCs w:val="20"/>
        </w:rPr>
        <w:t xml:space="preserve">Exception: Means of egress complying with Section 1028 </w:t>
      </w:r>
    </w:p>
    <w:p w:rsidR="009B13FD" w:rsidRDefault="009B13FD" w:rsidP="008550A5">
      <w:pPr>
        <w:pStyle w:val="Default"/>
        <w:ind w:left="360" w:hanging="360"/>
        <w:rPr>
          <w:sz w:val="20"/>
          <w:szCs w:val="20"/>
        </w:rPr>
      </w:pPr>
    </w:p>
    <w:p w:rsidR="009B13FD" w:rsidRDefault="009B13FD" w:rsidP="008550A5">
      <w:pPr>
        <w:pStyle w:val="Default"/>
        <w:numPr>
          <w:ilvl w:val="0"/>
          <w:numId w:val="14"/>
        </w:numPr>
        <w:ind w:left="360"/>
        <w:rPr>
          <w:sz w:val="20"/>
          <w:szCs w:val="20"/>
        </w:rPr>
      </w:pPr>
      <w:r>
        <w:rPr>
          <w:sz w:val="20"/>
          <w:szCs w:val="20"/>
        </w:rPr>
        <w:t xml:space="preserve">Open parking garages constructed under Groups A, I, B, M and R shall not exceed the height and area limitations permitted under Section 406.5. The height and area of the portion of the building above the open parking garage shall not exceed the limitations in Section 503 for the upper occupancy. The height, in both feet and stories, of the portion of the building above the open parking garage shall be measured from grade plane and shall include both the open parking garage and the portion of the building above the parking garage. IBC 510.7 </w:t>
      </w:r>
    </w:p>
    <w:p w:rsidR="009B13FD" w:rsidRDefault="009B13FD" w:rsidP="008550A5">
      <w:pPr>
        <w:pStyle w:val="Default"/>
        <w:ind w:left="360" w:hanging="360"/>
        <w:rPr>
          <w:sz w:val="20"/>
          <w:szCs w:val="20"/>
        </w:rPr>
      </w:pPr>
    </w:p>
    <w:p w:rsidR="009B13FD" w:rsidRDefault="009B13FD" w:rsidP="008550A5">
      <w:pPr>
        <w:pStyle w:val="Default"/>
        <w:ind w:left="360" w:hanging="360"/>
        <w:rPr>
          <w:sz w:val="20"/>
          <w:szCs w:val="20"/>
        </w:rPr>
      </w:pPr>
    </w:p>
    <w:p w:rsidR="009B13FD" w:rsidRDefault="009B13FD" w:rsidP="009B13FD">
      <w:pPr>
        <w:pStyle w:val="Default"/>
        <w:rPr>
          <w:sz w:val="20"/>
          <w:szCs w:val="20"/>
        </w:rPr>
      </w:pPr>
      <w:r>
        <w:rPr>
          <w:sz w:val="20"/>
          <w:szCs w:val="20"/>
        </w:rPr>
        <w:t xml:space="preserve"> </w:t>
      </w:r>
    </w:p>
    <w:p w:rsidR="009B13FD" w:rsidRDefault="009B13FD" w:rsidP="009B13FD">
      <w:pPr>
        <w:pStyle w:val="Default"/>
        <w:rPr>
          <w:sz w:val="20"/>
          <w:szCs w:val="20"/>
        </w:rPr>
      </w:pPr>
      <w:r>
        <w:rPr>
          <w:b/>
          <w:bCs/>
          <w:sz w:val="20"/>
          <w:szCs w:val="20"/>
        </w:rPr>
        <w:t xml:space="preserve">Means of Egress </w:t>
      </w:r>
    </w:p>
    <w:p w:rsidR="009B13FD" w:rsidRDefault="009B13FD" w:rsidP="009B13FD">
      <w:pPr>
        <w:pStyle w:val="Default"/>
        <w:rPr>
          <w:sz w:val="10"/>
          <w:szCs w:val="10"/>
        </w:rPr>
      </w:pPr>
      <w:r>
        <w:rPr>
          <w:sz w:val="10"/>
          <w:szCs w:val="10"/>
        </w:rPr>
        <w:t xml:space="preserve"> </w:t>
      </w:r>
    </w:p>
    <w:p w:rsidR="009B13FD" w:rsidRDefault="009B13FD" w:rsidP="005A009B">
      <w:pPr>
        <w:pStyle w:val="Default"/>
        <w:numPr>
          <w:ilvl w:val="0"/>
          <w:numId w:val="14"/>
        </w:numPr>
        <w:ind w:left="360"/>
        <w:rPr>
          <w:sz w:val="20"/>
          <w:szCs w:val="20"/>
        </w:rPr>
      </w:pPr>
      <w:r>
        <w:rPr>
          <w:sz w:val="20"/>
          <w:szCs w:val="20"/>
        </w:rPr>
        <w:t xml:space="preserve">Travel distance limitations. Exits shall be so located on each story such that the maximum length of exit access travel, measured from the most remote point within a story to the entrance to an exit along the natural and unobstructed path of egress travel, shall not exceed the distances given in IBC 1016.3 and IBC Table 1016.2 </w:t>
      </w:r>
    </w:p>
    <w:p w:rsidR="009B13FD" w:rsidRDefault="009B13FD" w:rsidP="009B13FD">
      <w:pPr>
        <w:pStyle w:val="Default"/>
        <w:rPr>
          <w:sz w:val="20"/>
          <w:szCs w:val="20"/>
        </w:rPr>
      </w:pPr>
    </w:p>
    <w:p w:rsidR="009B13FD" w:rsidRDefault="009B13FD" w:rsidP="009B13FD">
      <w:pPr>
        <w:pStyle w:val="Default"/>
        <w:rPr>
          <w:sz w:val="20"/>
          <w:szCs w:val="20"/>
        </w:rPr>
      </w:pPr>
      <w:r>
        <w:rPr>
          <w:sz w:val="20"/>
          <w:szCs w:val="20"/>
        </w:rPr>
        <w:t xml:space="preserve"> </w:t>
      </w:r>
    </w:p>
    <w:p w:rsidR="009B13FD" w:rsidRDefault="009B13FD" w:rsidP="009B13FD">
      <w:pPr>
        <w:pStyle w:val="Default"/>
        <w:rPr>
          <w:sz w:val="20"/>
          <w:szCs w:val="20"/>
        </w:rPr>
      </w:pPr>
      <w:r>
        <w:rPr>
          <w:sz w:val="20"/>
          <w:szCs w:val="20"/>
        </w:rPr>
        <w:t xml:space="preserve"> </w:t>
      </w:r>
    </w:p>
    <w:p w:rsidR="009B13FD" w:rsidRDefault="009B13FD" w:rsidP="009B13FD">
      <w:pPr>
        <w:pStyle w:val="Default"/>
        <w:rPr>
          <w:sz w:val="20"/>
          <w:szCs w:val="20"/>
        </w:rPr>
      </w:pPr>
      <w:r>
        <w:rPr>
          <w:b/>
          <w:bCs/>
          <w:sz w:val="20"/>
          <w:szCs w:val="20"/>
        </w:rPr>
        <w:t xml:space="preserve">Electrical  </w:t>
      </w:r>
    </w:p>
    <w:p w:rsidR="009B13FD" w:rsidRDefault="009B13FD" w:rsidP="009B13FD">
      <w:pPr>
        <w:pStyle w:val="Default"/>
        <w:rPr>
          <w:sz w:val="10"/>
          <w:szCs w:val="10"/>
        </w:rPr>
      </w:pPr>
      <w:r>
        <w:rPr>
          <w:sz w:val="10"/>
          <w:szCs w:val="10"/>
        </w:rPr>
        <w:t xml:space="preserve"> </w:t>
      </w:r>
    </w:p>
    <w:p w:rsidR="009B13FD" w:rsidRDefault="009B13FD" w:rsidP="005A009B">
      <w:pPr>
        <w:pStyle w:val="Default"/>
        <w:numPr>
          <w:ilvl w:val="0"/>
          <w:numId w:val="14"/>
        </w:numPr>
        <w:spacing w:after="41"/>
        <w:ind w:left="360"/>
        <w:rPr>
          <w:sz w:val="20"/>
          <w:szCs w:val="20"/>
        </w:rPr>
      </w:pPr>
      <w:r>
        <w:rPr>
          <w:sz w:val="20"/>
          <w:szCs w:val="20"/>
        </w:rPr>
        <w:t xml:space="preserve">Provide emergency lighting for assembly areas, stairways, aisles, corridors, </w:t>
      </w:r>
      <w:proofErr w:type="spellStart"/>
      <w:r>
        <w:rPr>
          <w:sz w:val="20"/>
          <w:szCs w:val="20"/>
        </w:rPr>
        <w:t>exitways</w:t>
      </w:r>
      <w:proofErr w:type="spellEnd"/>
      <w:r>
        <w:rPr>
          <w:sz w:val="20"/>
          <w:szCs w:val="20"/>
        </w:rPr>
        <w:t xml:space="preserve">, labs, shops, all flexible and open plan buildings and to path of egress travel to a public way (located at the exterior side of all required exterior exit doors).  NFPA 101, 7.8.1, 12.2.9, 38.2.9 and IBC Section 1006.3  </w:t>
      </w:r>
    </w:p>
    <w:p w:rsidR="009B13FD" w:rsidRDefault="009B13FD" w:rsidP="006B1092">
      <w:pPr>
        <w:pStyle w:val="Default"/>
        <w:numPr>
          <w:ilvl w:val="0"/>
          <w:numId w:val="17"/>
        </w:numPr>
        <w:spacing w:after="41"/>
        <w:rPr>
          <w:sz w:val="20"/>
          <w:szCs w:val="20"/>
        </w:rPr>
      </w:pPr>
      <w:r>
        <w:rPr>
          <w:sz w:val="20"/>
          <w:szCs w:val="20"/>
        </w:rPr>
        <w:t xml:space="preserve">Two or more story building above the level of exit discharge.     </w:t>
      </w:r>
    </w:p>
    <w:p w:rsidR="009B13FD" w:rsidRDefault="009B13FD" w:rsidP="006B1092">
      <w:pPr>
        <w:pStyle w:val="Default"/>
        <w:numPr>
          <w:ilvl w:val="0"/>
          <w:numId w:val="17"/>
        </w:numPr>
        <w:spacing w:after="41"/>
        <w:rPr>
          <w:sz w:val="20"/>
          <w:szCs w:val="20"/>
        </w:rPr>
      </w:pPr>
      <w:r>
        <w:rPr>
          <w:sz w:val="20"/>
          <w:szCs w:val="20"/>
        </w:rPr>
        <w:t xml:space="preserve">50 or more occupants above or below the level of exit discharge.    </w:t>
      </w:r>
    </w:p>
    <w:p w:rsidR="009B13FD" w:rsidRDefault="009B13FD" w:rsidP="006B1092">
      <w:pPr>
        <w:pStyle w:val="Default"/>
        <w:numPr>
          <w:ilvl w:val="0"/>
          <w:numId w:val="17"/>
        </w:numPr>
        <w:rPr>
          <w:sz w:val="20"/>
          <w:szCs w:val="20"/>
        </w:rPr>
      </w:pPr>
      <w:r>
        <w:rPr>
          <w:sz w:val="20"/>
          <w:szCs w:val="20"/>
        </w:rPr>
        <w:t xml:space="preserve">300 or more total occupants </w:t>
      </w:r>
    </w:p>
    <w:p w:rsidR="009B13FD" w:rsidRDefault="009B13FD" w:rsidP="009B13FD">
      <w:pPr>
        <w:pStyle w:val="Default"/>
        <w:rPr>
          <w:sz w:val="20"/>
          <w:szCs w:val="20"/>
        </w:rPr>
      </w:pPr>
    </w:p>
    <w:p w:rsidR="009B13FD" w:rsidRDefault="009B13FD" w:rsidP="009B13FD">
      <w:pPr>
        <w:pStyle w:val="Default"/>
        <w:rPr>
          <w:sz w:val="20"/>
          <w:szCs w:val="20"/>
        </w:rPr>
      </w:pPr>
      <w:r>
        <w:rPr>
          <w:sz w:val="20"/>
          <w:szCs w:val="20"/>
        </w:rPr>
        <w:t xml:space="preserve"> </w:t>
      </w:r>
    </w:p>
    <w:p w:rsidR="009B13FD" w:rsidRDefault="009B13FD" w:rsidP="005A009B">
      <w:pPr>
        <w:pStyle w:val="Default"/>
        <w:numPr>
          <w:ilvl w:val="0"/>
          <w:numId w:val="14"/>
        </w:numPr>
        <w:spacing w:after="43"/>
        <w:ind w:left="360"/>
        <w:rPr>
          <w:sz w:val="20"/>
          <w:szCs w:val="20"/>
        </w:rPr>
      </w:pPr>
      <w:bookmarkStart w:id="0" w:name="_GoBack"/>
      <w:bookmarkEnd w:id="0"/>
      <w:r>
        <w:rPr>
          <w:sz w:val="20"/>
          <w:szCs w:val="20"/>
        </w:rPr>
        <w:t xml:space="preserve">A fire alarm system with an emergency power source is required.  NFPA 101 38.3.4.1, IBC 907.2, 907.2.1 through 907.2.2 and 2010 NFPA 72. </w:t>
      </w:r>
    </w:p>
    <w:p w:rsidR="009B13FD" w:rsidRDefault="009B13FD" w:rsidP="006B1092">
      <w:pPr>
        <w:pStyle w:val="Default"/>
        <w:numPr>
          <w:ilvl w:val="0"/>
          <w:numId w:val="21"/>
        </w:numPr>
        <w:spacing w:after="43"/>
        <w:rPr>
          <w:sz w:val="20"/>
          <w:szCs w:val="20"/>
        </w:rPr>
      </w:pPr>
      <w:r>
        <w:rPr>
          <w:sz w:val="20"/>
          <w:szCs w:val="20"/>
        </w:rPr>
        <w:t xml:space="preserve">Two or more story building above the level of exit discharge. </w:t>
      </w:r>
    </w:p>
    <w:p w:rsidR="009B13FD" w:rsidRDefault="009B13FD" w:rsidP="006B1092">
      <w:pPr>
        <w:pStyle w:val="Default"/>
        <w:numPr>
          <w:ilvl w:val="0"/>
          <w:numId w:val="21"/>
        </w:numPr>
        <w:spacing w:after="43"/>
        <w:rPr>
          <w:sz w:val="20"/>
          <w:szCs w:val="20"/>
        </w:rPr>
      </w:pPr>
      <w:r>
        <w:rPr>
          <w:sz w:val="20"/>
          <w:szCs w:val="20"/>
        </w:rPr>
        <w:t xml:space="preserve">100 or more occupants above or below the level of exit discharge. </w:t>
      </w:r>
    </w:p>
    <w:p w:rsidR="009B13FD" w:rsidRDefault="009B13FD" w:rsidP="006B1092">
      <w:pPr>
        <w:pStyle w:val="Default"/>
        <w:numPr>
          <w:ilvl w:val="0"/>
          <w:numId w:val="21"/>
        </w:numPr>
        <w:rPr>
          <w:sz w:val="20"/>
          <w:szCs w:val="20"/>
        </w:rPr>
      </w:pPr>
      <w:r>
        <w:rPr>
          <w:sz w:val="20"/>
          <w:szCs w:val="20"/>
        </w:rPr>
        <w:t xml:space="preserve">300 or more total occupants </w:t>
      </w:r>
    </w:p>
    <w:p w:rsidR="002C0966" w:rsidRPr="007F2311" w:rsidRDefault="002C0966" w:rsidP="00A13996"/>
    <w:sectPr w:rsidR="002C0966" w:rsidRPr="007F2311" w:rsidSect="00586CD2">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5C6" w:rsidRDefault="002E75C6" w:rsidP="007F2311">
      <w:r>
        <w:separator/>
      </w:r>
    </w:p>
  </w:endnote>
  <w:endnote w:type="continuationSeparator" w:id="0">
    <w:p w:rsidR="002E75C6" w:rsidRDefault="002E75C6" w:rsidP="007F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11" w:rsidRDefault="007F2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11" w:rsidRPr="007F2311" w:rsidRDefault="00351003">
    <w:pPr>
      <w:pStyle w:val="Footer"/>
      <w:rPr>
        <w:sz w:val="16"/>
        <w:szCs w:val="16"/>
      </w:rPr>
    </w:pPr>
    <w:r>
      <w:rPr>
        <w:sz w:val="16"/>
        <w:szCs w:val="16"/>
      </w:rPr>
      <w:t xml:space="preserve">Revised January </w:t>
    </w:r>
    <w:r w:rsidR="007F2311" w:rsidRPr="007F2311">
      <w:rPr>
        <w:sz w:val="16"/>
        <w:szCs w:val="16"/>
      </w:rPr>
      <w:t>2013</w:t>
    </w:r>
  </w:p>
  <w:p w:rsidR="007F2311" w:rsidRDefault="007F2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11" w:rsidRDefault="007F2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5C6" w:rsidRDefault="002E75C6" w:rsidP="007F2311">
      <w:r>
        <w:separator/>
      </w:r>
    </w:p>
  </w:footnote>
  <w:footnote w:type="continuationSeparator" w:id="0">
    <w:p w:rsidR="002E75C6" w:rsidRDefault="002E75C6" w:rsidP="007F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11" w:rsidRDefault="007F2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11" w:rsidRDefault="007F2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11" w:rsidRDefault="007F2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D80"/>
    <w:multiLevelType w:val="hybridMultilevel"/>
    <w:tmpl w:val="A5C8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2F7A"/>
    <w:multiLevelType w:val="hybridMultilevel"/>
    <w:tmpl w:val="54665718"/>
    <w:lvl w:ilvl="0" w:tplc="4554F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41985"/>
    <w:multiLevelType w:val="hybridMultilevel"/>
    <w:tmpl w:val="574EB560"/>
    <w:lvl w:ilvl="0" w:tplc="04090015">
      <w:start w:val="1"/>
      <w:numFmt w:val="upperLetter"/>
      <w:lvlText w:val="%1."/>
      <w:lvlJc w:val="left"/>
      <w:pPr>
        <w:ind w:left="1440" w:hanging="360"/>
      </w:pPr>
    </w:lvl>
    <w:lvl w:ilvl="1" w:tplc="BD889D0E">
      <w:start w:val="1"/>
      <w:numFmt w:val="upperLetter"/>
      <w:lvlText w:val="%2."/>
      <w:lvlJc w:val="left"/>
      <w:pPr>
        <w:ind w:left="216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600B4"/>
    <w:multiLevelType w:val="hybridMultilevel"/>
    <w:tmpl w:val="818C6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3731C"/>
    <w:multiLevelType w:val="hybridMultilevel"/>
    <w:tmpl w:val="838C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E47B7"/>
    <w:multiLevelType w:val="hybridMultilevel"/>
    <w:tmpl w:val="68ACE6CE"/>
    <w:lvl w:ilvl="0" w:tplc="0409000F">
      <w:start w:val="1"/>
      <w:numFmt w:val="decimal"/>
      <w:lvlText w:val="%1."/>
      <w:lvlJc w:val="left"/>
      <w:pPr>
        <w:ind w:left="720" w:hanging="360"/>
      </w:pPr>
      <w:rPr>
        <w:rFonts w:hint="default"/>
      </w:rPr>
    </w:lvl>
    <w:lvl w:ilvl="1" w:tplc="1B144B6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A2D78"/>
    <w:multiLevelType w:val="hybridMultilevel"/>
    <w:tmpl w:val="2BD03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1F7A46"/>
    <w:multiLevelType w:val="hybridMultilevel"/>
    <w:tmpl w:val="23A4B548"/>
    <w:lvl w:ilvl="0" w:tplc="D1AC4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A7C37"/>
    <w:multiLevelType w:val="hybridMultilevel"/>
    <w:tmpl w:val="1C182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21988"/>
    <w:multiLevelType w:val="hybridMultilevel"/>
    <w:tmpl w:val="EA5A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20838"/>
    <w:multiLevelType w:val="hybridMultilevel"/>
    <w:tmpl w:val="0F823F92"/>
    <w:lvl w:ilvl="0" w:tplc="4554F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546F2"/>
    <w:multiLevelType w:val="hybridMultilevel"/>
    <w:tmpl w:val="E26E3414"/>
    <w:lvl w:ilvl="0" w:tplc="4554F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E6274"/>
    <w:multiLevelType w:val="hybridMultilevel"/>
    <w:tmpl w:val="6F28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C572B"/>
    <w:multiLevelType w:val="hybridMultilevel"/>
    <w:tmpl w:val="088C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760AA"/>
    <w:multiLevelType w:val="hybridMultilevel"/>
    <w:tmpl w:val="E84C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37208"/>
    <w:multiLevelType w:val="hybridMultilevel"/>
    <w:tmpl w:val="3D8C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A249F"/>
    <w:multiLevelType w:val="hybridMultilevel"/>
    <w:tmpl w:val="43B84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C21A9"/>
    <w:multiLevelType w:val="hybridMultilevel"/>
    <w:tmpl w:val="054C7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16948"/>
    <w:multiLevelType w:val="hybridMultilevel"/>
    <w:tmpl w:val="90440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123DA"/>
    <w:multiLevelType w:val="hybridMultilevel"/>
    <w:tmpl w:val="46EE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67817"/>
    <w:multiLevelType w:val="hybridMultilevel"/>
    <w:tmpl w:val="878C8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0"/>
  </w:num>
  <w:num w:numId="5">
    <w:abstractNumId w:val="15"/>
  </w:num>
  <w:num w:numId="6">
    <w:abstractNumId w:val="13"/>
  </w:num>
  <w:num w:numId="7">
    <w:abstractNumId w:val="5"/>
  </w:num>
  <w:num w:numId="8">
    <w:abstractNumId w:val="17"/>
  </w:num>
  <w:num w:numId="9">
    <w:abstractNumId w:val="20"/>
  </w:num>
  <w:num w:numId="10">
    <w:abstractNumId w:val="2"/>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7"/>
  </w:num>
  <w:num w:numId="16">
    <w:abstractNumId w:val="9"/>
  </w:num>
  <w:num w:numId="17">
    <w:abstractNumId w:val="18"/>
  </w:num>
  <w:num w:numId="18">
    <w:abstractNumId w:val="11"/>
  </w:num>
  <w:num w:numId="19">
    <w:abstractNumId w:val="10"/>
  </w:num>
  <w:num w:numId="20">
    <w:abstractNumId w:val="19"/>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0966"/>
    <w:rsid w:val="000850FE"/>
    <w:rsid w:val="0009164A"/>
    <w:rsid w:val="00164AEE"/>
    <w:rsid w:val="00190ABF"/>
    <w:rsid w:val="00272C6F"/>
    <w:rsid w:val="002808B2"/>
    <w:rsid w:val="002C0966"/>
    <w:rsid w:val="002C6153"/>
    <w:rsid w:val="002E75C6"/>
    <w:rsid w:val="00351003"/>
    <w:rsid w:val="00431D04"/>
    <w:rsid w:val="00475C54"/>
    <w:rsid w:val="00495C03"/>
    <w:rsid w:val="00586CD2"/>
    <w:rsid w:val="005A009B"/>
    <w:rsid w:val="005A73B3"/>
    <w:rsid w:val="00625069"/>
    <w:rsid w:val="00637817"/>
    <w:rsid w:val="006B1092"/>
    <w:rsid w:val="007F2311"/>
    <w:rsid w:val="008550A5"/>
    <w:rsid w:val="00871AF1"/>
    <w:rsid w:val="00954CA4"/>
    <w:rsid w:val="00980CE2"/>
    <w:rsid w:val="00987554"/>
    <w:rsid w:val="009B13FD"/>
    <w:rsid w:val="009D20CA"/>
    <w:rsid w:val="00A13996"/>
    <w:rsid w:val="00A72846"/>
    <w:rsid w:val="00A95A24"/>
    <w:rsid w:val="00AC1BB5"/>
    <w:rsid w:val="00AC3D9B"/>
    <w:rsid w:val="00AF7EF0"/>
    <w:rsid w:val="00CE0180"/>
    <w:rsid w:val="00D01AE3"/>
    <w:rsid w:val="00D13C14"/>
    <w:rsid w:val="00D74118"/>
    <w:rsid w:val="00DB1D8E"/>
    <w:rsid w:val="00E313DD"/>
    <w:rsid w:val="00E6115D"/>
    <w:rsid w:val="00EF173D"/>
    <w:rsid w:val="00F4566C"/>
    <w:rsid w:val="00F8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D9BD7-C812-4D2B-8BB8-FED1A1B8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453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966"/>
    <w:pPr>
      <w:autoSpaceDE w:val="0"/>
      <w:autoSpaceDN w:val="0"/>
      <w:adjustRightInd w:val="0"/>
      <w:ind w:right="0"/>
      <w:jc w:val="left"/>
    </w:pPr>
    <w:rPr>
      <w:rFonts w:ascii="Arial" w:hAnsi="Arial" w:cs="Arial"/>
      <w:color w:val="000000"/>
      <w:sz w:val="24"/>
      <w:szCs w:val="24"/>
    </w:rPr>
  </w:style>
  <w:style w:type="paragraph" w:styleId="ListParagraph">
    <w:name w:val="List Paragraph"/>
    <w:basedOn w:val="Normal"/>
    <w:uiPriority w:val="34"/>
    <w:qFormat/>
    <w:rsid w:val="002C0966"/>
    <w:pPr>
      <w:ind w:left="720"/>
      <w:contextualSpacing/>
    </w:pPr>
  </w:style>
  <w:style w:type="paragraph" w:customStyle="1" w:styleId="CM19">
    <w:name w:val="CM19"/>
    <w:basedOn w:val="Default"/>
    <w:next w:val="Default"/>
    <w:uiPriority w:val="99"/>
    <w:rsid w:val="00980CE2"/>
    <w:pPr>
      <w:widowControl w:val="0"/>
    </w:pPr>
    <w:rPr>
      <w:rFonts w:eastAsiaTheme="minorEastAsia"/>
      <w:color w:val="auto"/>
    </w:rPr>
  </w:style>
  <w:style w:type="paragraph" w:customStyle="1" w:styleId="CM4">
    <w:name w:val="CM4"/>
    <w:basedOn w:val="Default"/>
    <w:next w:val="Default"/>
    <w:uiPriority w:val="99"/>
    <w:rsid w:val="00980CE2"/>
    <w:pPr>
      <w:widowControl w:val="0"/>
      <w:spacing w:line="258" w:lineRule="atLeast"/>
    </w:pPr>
    <w:rPr>
      <w:rFonts w:eastAsiaTheme="minorEastAsia"/>
      <w:color w:val="auto"/>
    </w:rPr>
  </w:style>
  <w:style w:type="paragraph" w:styleId="BalloonText">
    <w:name w:val="Balloon Text"/>
    <w:basedOn w:val="Normal"/>
    <w:link w:val="BalloonTextChar"/>
    <w:uiPriority w:val="99"/>
    <w:semiHidden/>
    <w:unhideWhenUsed/>
    <w:rsid w:val="00586CD2"/>
    <w:rPr>
      <w:rFonts w:ascii="Tahoma" w:hAnsi="Tahoma" w:cs="Tahoma"/>
      <w:sz w:val="16"/>
      <w:szCs w:val="16"/>
    </w:rPr>
  </w:style>
  <w:style w:type="character" w:customStyle="1" w:styleId="BalloonTextChar">
    <w:name w:val="Balloon Text Char"/>
    <w:basedOn w:val="DefaultParagraphFont"/>
    <w:link w:val="BalloonText"/>
    <w:uiPriority w:val="99"/>
    <w:semiHidden/>
    <w:rsid w:val="00586CD2"/>
    <w:rPr>
      <w:rFonts w:ascii="Tahoma" w:hAnsi="Tahoma" w:cs="Tahoma"/>
      <w:sz w:val="16"/>
      <w:szCs w:val="16"/>
    </w:rPr>
  </w:style>
  <w:style w:type="paragraph" w:styleId="Header">
    <w:name w:val="header"/>
    <w:basedOn w:val="Normal"/>
    <w:link w:val="HeaderChar"/>
    <w:uiPriority w:val="99"/>
    <w:semiHidden/>
    <w:unhideWhenUsed/>
    <w:rsid w:val="007F2311"/>
    <w:pPr>
      <w:tabs>
        <w:tab w:val="center" w:pos="4680"/>
        <w:tab w:val="right" w:pos="9360"/>
      </w:tabs>
    </w:pPr>
  </w:style>
  <w:style w:type="character" w:customStyle="1" w:styleId="HeaderChar">
    <w:name w:val="Header Char"/>
    <w:basedOn w:val="DefaultParagraphFont"/>
    <w:link w:val="Header"/>
    <w:uiPriority w:val="99"/>
    <w:semiHidden/>
    <w:rsid w:val="007F2311"/>
  </w:style>
  <w:style w:type="paragraph" w:styleId="Footer">
    <w:name w:val="footer"/>
    <w:basedOn w:val="Normal"/>
    <w:link w:val="FooterChar"/>
    <w:uiPriority w:val="99"/>
    <w:unhideWhenUsed/>
    <w:rsid w:val="007F2311"/>
    <w:pPr>
      <w:tabs>
        <w:tab w:val="center" w:pos="4680"/>
        <w:tab w:val="right" w:pos="9360"/>
      </w:tabs>
    </w:pPr>
  </w:style>
  <w:style w:type="character" w:customStyle="1" w:styleId="FooterChar">
    <w:name w:val="Footer Char"/>
    <w:basedOn w:val="DefaultParagraphFont"/>
    <w:link w:val="Footer"/>
    <w:uiPriority w:val="99"/>
    <w:rsid w:val="007F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bldgncodes</dc:creator>
  <cp:keywords/>
  <dc:description/>
  <cp:lastModifiedBy>David Rone</cp:lastModifiedBy>
  <cp:revision>21</cp:revision>
  <dcterms:created xsi:type="dcterms:W3CDTF">2012-12-07T17:14:00Z</dcterms:created>
  <dcterms:modified xsi:type="dcterms:W3CDTF">2018-01-23T18:22:00Z</dcterms:modified>
</cp:coreProperties>
</file>